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29" w:rsidRPr="007B68CA" w:rsidRDefault="00595B29" w:rsidP="00595B29">
      <w:pPr>
        <w:pStyle w:val="Heading2"/>
        <w:numPr>
          <w:ilvl w:val="0"/>
          <w:numId w:val="0"/>
        </w:numPr>
        <w:ind w:left="360" w:hanging="360"/>
        <w:jc w:val="center"/>
        <w:rPr>
          <w:lang w:val="fr-CA"/>
        </w:rPr>
      </w:pPr>
      <w:bookmarkStart w:id="0" w:name="_Toc44418131"/>
      <w:r>
        <w:rPr>
          <w:bCs/>
          <w:lang w:val="fr-CA"/>
        </w:rPr>
        <w:t xml:space="preserve">Liste de contrôle : </w:t>
      </w:r>
      <w:r>
        <w:rPr>
          <w:bCs/>
          <w:lang w:val="fr-CA"/>
        </w:rPr>
        <w:t>Préparation de l’avocat avant la rencontre avec le décideur</w:t>
      </w:r>
      <w:bookmarkEnd w:id="0"/>
    </w:p>
    <w:p w:rsidR="00595B29" w:rsidRPr="007B68CA" w:rsidRDefault="00595B29" w:rsidP="00595B29">
      <w:pPr>
        <w:spacing w:after="0" w:line="240" w:lineRule="auto"/>
        <w:rPr>
          <w:rFonts w:ascii="Arial" w:hAnsi="Arial" w:cs="Arial"/>
          <w:b/>
          <w:lang w:val="fr-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73"/>
        <w:gridCol w:w="3434"/>
        <w:gridCol w:w="5899"/>
        <w:gridCol w:w="1775"/>
        <w:gridCol w:w="801"/>
      </w:tblGrid>
      <w:tr w:rsidR="00595B29" w:rsidRPr="005C2F7E" w:rsidTr="00D543DD">
        <w:tc>
          <w:tcPr>
            <w:tcW w:w="59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022" w:type="dxa"/>
          </w:tcPr>
          <w:p w:rsidR="00595B29" w:rsidRPr="005C2F7E" w:rsidRDefault="00595B29" w:rsidP="00D54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 xml:space="preserve">Objet </w:t>
            </w:r>
          </w:p>
        </w:tc>
        <w:tc>
          <w:tcPr>
            <w:tcW w:w="5046" w:type="dxa"/>
          </w:tcPr>
          <w:p w:rsidR="00595B29" w:rsidRPr="005C2F7E" w:rsidRDefault="00595B29" w:rsidP="00D54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 xml:space="preserve">Suivi/Problèmes/Solutions </w:t>
            </w:r>
          </w:p>
        </w:tc>
        <w:tc>
          <w:tcPr>
            <w:tcW w:w="1881" w:type="dxa"/>
          </w:tcPr>
          <w:p w:rsidR="00595B29" w:rsidRPr="005C2F7E" w:rsidRDefault="00595B29" w:rsidP="00D54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Partie responsable</w:t>
            </w:r>
          </w:p>
        </w:tc>
        <w:tc>
          <w:tcPr>
            <w:tcW w:w="916" w:type="dxa"/>
          </w:tcPr>
          <w:p w:rsidR="00595B29" w:rsidRPr="005C2F7E" w:rsidRDefault="00595B29" w:rsidP="00D54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 xml:space="preserve">Fait </w:t>
            </w:r>
          </w:p>
        </w:tc>
      </w:tr>
      <w:tr w:rsidR="00595B29" w:rsidRPr="004D6239" w:rsidTr="00D543DD">
        <w:tc>
          <w:tcPr>
            <w:tcW w:w="12456" w:type="dxa"/>
            <w:gridSpan w:val="5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Format des audiences et questions générales</w:t>
            </w: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1.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Méthode : vidéo ou téléconférence pour les observations orales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2.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Déterminer et consulter les directives de pratique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3.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Déterminer les capacités des tribunaux locaux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4.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Déterminer les besoins en formation des avocats et des parties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5.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Déterminer s’il est nécessaire d’offrir des services d’interprétation linguistique, de sténographie judiciaire ou d’autres services durant l’audience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6.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Cibler les questions aux fins des observations orales 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7.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Cerner les problèmes liés aux observations écrites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5C2F7E" w:rsidTr="00D543DD">
        <w:tc>
          <w:tcPr>
            <w:tcW w:w="12456" w:type="dxa"/>
            <w:gridSpan w:val="5"/>
          </w:tcPr>
          <w:p w:rsidR="00595B29" w:rsidRPr="005C2F7E" w:rsidRDefault="00595B29" w:rsidP="00D54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 xml:space="preserve">Documents </w:t>
            </w: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8.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Veiller à ce que tous les documents, transcriptions et preuves nécessaires aux fins de l’audience soient disponibles par voie électronique.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9.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Méthode d’échange de documents (courriel, nuage, etc.)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10.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Format de document à utiliser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PDF consultable avec signet pour les dossiers et les mémoires</w:t>
            </w:r>
          </w:p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Word pour les observations écrites</w:t>
            </w: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11.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Convention d’appellation et de numérotation – Tenir compte des directives de pratique, le cas échéant 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lang w:val="fr-CA"/>
                </w:rPr>
                <w:t>https://www.ontariocourts.ca/scj/fr/pratique/directives-de-pratique/electronique-csj/</w:t>
              </w:r>
            </w:hyperlink>
            <w:r>
              <w:rPr>
                <w:rFonts w:ascii="Arial" w:hAnsi="Arial" w:cs="Arial"/>
                <w:lang w:val="fr-CA"/>
              </w:rPr>
              <w:t xml:space="preserve">. </w:t>
            </w:r>
          </w:p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5C2F7E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12.</w:t>
            </w:r>
          </w:p>
        </w:tc>
        <w:tc>
          <w:tcPr>
            <w:tcW w:w="4022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Calendrier d’échange de documents</w:t>
            </w:r>
          </w:p>
        </w:tc>
        <w:tc>
          <w:tcPr>
            <w:tcW w:w="5046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</w:tr>
      <w:tr w:rsidR="00595B29" w:rsidRPr="005C2F7E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13.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Préparation du recueil commun des documents</w:t>
            </w:r>
          </w:p>
        </w:tc>
        <w:tc>
          <w:tcPr>
            <w:tcW w:w="5046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Contenu</w:t>
            </w:r>
          </w:p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Date d’échéance</w:t>
            </w:r>
          </w:p>
        </w:tc>
        <w:tc>
          <w:tcPr>
            <w:tcW w:w="188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14.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Sources faisant autorité avec hyperliens dans les observations écrites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15.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Logiciel pour visualiser et identifier les documents mentionnés dans les arguments présentés de vive voix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Minimum requis : Logiciel PDF et Word</w:t>
            </w: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16.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Préparer un recueil condensé avec tableau de concordance avec le RCD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17.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Comment les documents de nature délicate seront</w:t>
            </w:r>
            <w:r>
              <w:rPr>
                <w:rFonts w:ascii="Arial" w:hAnsi="Arial" w:cs="Arial"/>
                <w:lang w:val="fr-CA"/>
              </w:rPr>
              <w:noBreakHyphen/>
              <w:t>ils traités?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5C2F7E" w:rsidTr="00D543DD">
        <w:tc>
          <w:tcPr>
            <w:tcW w:w="12456" w:type="dxa"/>
            <w:gridSpan w:val="5"/>
          </w:tcPr>
          <w:p w:rsidR="00595B29" w:rsidRPr="005C2F7E" w:rsidRDefault="00595B29" w:rsidP="00D54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Protocole relatif à l’audience</w:t>
            </w: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18.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Comment les difficultés techniques seront-elles traitées?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19.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Échange d’adresses de courrier électronique et de numéros de téléphone par tous les participants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20.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Revoir la liste des questions à la section 5 des </w:t>
            </w:r>
            <w:r>
              <w:rPr>
                <w:rFonts w:ascii="Arial" w:hAnsi="Arial" w:cs="Arial"/>
                <w:i/>
                <w:iCs/>
                <w:lang w:val="fr-CA"/>
              </w:rPr>
              <w:t>Pratiques exemplaires pour les audiences tenues à distance</w:t>
            </w:r>
            <w:r>
              <w:rPr>
                <w:rFonts w:ascii="Arial" w:hAnsi="Arial" w:cs="Arial"/>
                <w:lang w:val="fr-CA"/>
              </w:rPr>
              <w:t xml:space="preserve"> et créer une liste personnalisée des questions en litige adaptées à l’affaire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21.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Discuter de la liste des questions avec les autres parties et convenir d’une façon de procéder (sous réserve du pouvoir discrétionnaire du tribunal) 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D87E5E" w:rsidTr="00D543DD">
        <w:tc>
          <w:tcPr>
            <w:tcW w:w="12456" w:type="dxa"/>
            <w:gridSpan w:val="5"/>
          </w:tcPr>
          <w:p w:rsidR="00595B29" w:rsidRPr="00D87E5E" w:rsidRDefault="00595B29" w:rsidP="00D87E5E">
            <w:pPr>
              <w:rPr>
                <w:rFonts w:ascii="Arial" w:hAnsi="Arial" w:cs="Arial"/>
                <w:b/>
              </w:rPr>
            </w:pPr>
            <w:bookmarkStart w:id="1" w:name="_GoBack"/>
            <w:r w:rsidRPr="00D87E5E">
              <w:rPr>
                <w:rFonts w:ascii="Arial" w:hAnsi="Arial" w:cs="Arial"/>
                <w:b/>
              </w:rPr>
              <w:t>Simulation</w:t>
            </w:r>
          </w:p>
        </w:tc>
      </w:tr>
      <w:bookmarkEnd w:id="1"/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22.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À prévoir entre les avocats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23.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Tous les avocats et les parties y participent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24.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S’il y a lieu, demander au juge ou au greffier ou à l’adjoint du juge s’ils souhaitent participer à la simulation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25.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Vérifier la qualité des connexions vidéo et audio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5C2F7E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26.</w:t>
            </w:r>
          </w:p>
        </w:tc>
        <w:tc>
          <w:tcPr>
            <w:tcW w:w="4022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Essayer les logiciels</w:t>
            </w:r>
          </w:p>
        </w:tc>
        <w:tc>
          <w:tcPr>
            <w:tcW w:w="5046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27.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Mettre à l’essai les fonctions qui seront probablement utilisées, passer d’un écran à un autre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28.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Confirmer que tous les protocoles/orientations judiciaires/la façon dont les problèmes techniques doivent être réglés/tous les documents sont en main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5C2F7E" w:rsidTr="00D543DD">
        <w:tc>
          <w:tcPr>
            <w:tcW w:w="12456" w:type="dxa"/>
            <w:gridSpan w:val="5"/>
          </w:tcPr>
          <w:p w:rsidR="00595B29" w:rsidRPr="005C2F7E" w:rsidRDefault="00D87E5E" w:rsidP="00D54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Préparation du client</w:t>
            </w: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29.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 client sera-t-il présent?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30.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 client prendra</w:t>
            </w:r>
            <w:r>
              <w:rPr>
                <w:rFonts w:ascii="Arial" w:hAnsi="Arial" w:cs="Arial"/>
                <w:lang w:val="fr-CA"/>
              </w:rPr>
              <w:noBreakHyphen/>
              <w:t>t</w:t>
            </w:r>
            <w:r>
              <w:rPr>
                <w:rFonts w:ascii="Arial" w:hAnsi="Arial" w:cs="Arial"/>
                <w:lang w:val="fr-CA"/>
              </w:rPr>
              <w:noBreakHyphen/>
              <w:t>il la parole à l’audience et, le cas échéant, quand et comment?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31.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Revoir l’étiquette, la conduite et les directives judiciaires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32.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Examiner le processus et la technologie à utiliser 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33.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Que faire en cas de problèmes techniques?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34.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Comment communiquer pendant l’audience et questions d’éthique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  <w:tr w:rsidR="00595B29" w:rsidRPr="005C2F7E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35.</w:t>
            </w:r>
          </w:p>
        </w:tc>
        <w:tc>
          <w:tcPr>
            <w:tcW w:w="4022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Comment accéder aux documents</w:t>
            </w:r>
          </w:p>
        </w:tc>
        <w:tc>
          <w:tcPr>
            <w:tcW w:w="5046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</w:tr>
      <w:tr w:rsidR="00595B29" w:rsidRPr="005C2F7E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36.</w:t>
            </w:r>
          </w:p>
        </w:tc>
        <w:tc>
          <w:tcPr>
            <w:tcW w:w="4022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 xml:space="preserve">Emplacement approprié </w:t>
            </w:r>
          </w:p>
        </w:tc>
        <w:tc>
          <w:tcPr>
            <w:tcW w:w="5046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</w:p>
        </w:tc>
      </w:tr>
      <w:tr w:rsidR="00595B29" w:rsidRPr="004D6239" w:rsidTr="00D543DD">
        <w:tc>
          <w:tcPr>
            <w:tcW w:w="591" w:type="dxa"/>
          </w:tcPr>
          <w:p w:rsidR="00595B29" w:rsidRPr="005C2F7E" w:rsidRDefault="00595B29" w:rsidP="00D5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37.</w:t>
            </w:r>
          </w:p>
        </w:tc>
        <w:tc>
          <w:tcPr>
            <w:tcW w:w="4022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S’assurer que le client dispose du matériel et des logiciels fonctionnels et appropriés </w:t>
            </w:r>
          </w:p>
        </w:tc>
        <w:tc>
          <w:tcPr>
            <w:tcW w:w="504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595B29" w:rsidRPr="007B68CA" w:rsidRDefault="00595B29" w:rsidP="00D543DD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2D60BA" w:rsidRPr="00595B29" w:rsidRDefault="002D60BA">
      <w:pPr>
        <w:rPr>
          <w:lang w:val="fr-CA"/>
        </w:rPr>
      </w:pPr>
    </w:p>
    <w:sectPr w:rsidR="002D60BA" w:rsidRPr="00595B29" w:rsidSect="00595B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44AA"/>
    <w:multiLevelType w:val="multilevel"/>
    <w:tmpl w:val="A7609C74"/>
    <w:lvl w:ilvl="0">
      <w:start w:val="1"/>
      <w:numFmt w:val="decimal"/>
      <w:pStyle w:val="Heading2"/>
      <w:lvlText w:val="%1)"/>
      <w:lvlJc w:val="left"/>
      <w:pPr>
        <w:ind w:left="360" w:hanging="360"/>
      </w:p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29"/>
    <w:rsid w:val="002D60BA"/>
    <w:rsid w:val="00595B29"/>
    <w:rsid w:val="00D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E4DBC-E370-4CF0-94B2-A2AB4DBF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29"/>
  </w:style>
  <w:style w:type="paragraph" w:styleId="Heading2">
    <w:name w:val="heading 2"/>
    <w:basedOn w:val="ListParagraph"/>
    <w:next w:val="Normal"/>
    <w:link w:val="Heading2Char"/>
    <w:qFormat/>
    <w:rsid w:val="00595B29"/>
    <w:pPr>
      <w:numPr>
        <w:numId w:val="1"/>
      </w:numPr>
      <w:spacing w:after="240" w:line="240" w:lineRule="auto"/>
      <w:contextualSpacing w:val="0"/>
      <w:jc w:val="both"/>
      <w:outlineLvl w:val="1"/>
    </w:pPr>
    <w:rPr>
      <w:rFonts w:ascii="Arial" w:hAnsi="Arial" w:cs="Arial"/>
      <w:b/>
      <w:lang w:val="en-CA"/>
    </w:rPr>
  </w:style>
  <w:style w:type="paragraph" w:styleId="Heading3">
    <w:name w:val="heading 3"/>
    <w:basedOn w:val="ListParagraph"/>
    <w:next w:val="Normal"/>
    <w:link w:val="Heading3Char"/>
    <w:uiPriority w:val="99"/>
    <w:semiHidden/>
    <w:qFormat/>
    <w:rsid w:val="00595B29"/>
    <w:pPr>
      <w:numPr>
        <w:ilvl w:val="1"/>
        <w:numId w:val="1"/>
      </w:numPr>
      <w:spacing w:after="240" w:line="240" w:lineRule="auto"/>
      <w:contextualSpacing w:val="0"/>
      <w:jc w:val="both"/>
      <w:outlineLvl w:val="2"/>
    </w:pPr>
    <w:rPr>
      <w:rFonts w:ascii="Arial" w:hAnsi="Arial" w:cs="Arial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5B29"/>
    <w:rPr>
      <w:rFonts w:ascii="Arial" w:hAnsi="Arial" w:cs="Arial"/>
      <w:b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95B29"/>
    <w:rPr>
      <w:rFonts w:ascii="Arial" w:hAnsi="Arial" w:cs="Arial"/>
      <w:b/>
      <w:lang w:val="en-CA"/>
    </w:rPr>
  </w:style>
  <w:style w:type="table" w:styleId="TableGrid">
    <w:name w:val="Table Grid"/>
    <w:basedOn w:val="TableNormal"/>
    <w:uiPriority w:val="39"/>
    <w:rsid w:val="00595B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B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tariocourts.ca/scj/fr/pratique/directives-de-pratique/electronique-cs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9BD5-4C33-4769-B2A7-38C874C0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B4FE56D</Template>
  <TotalTime>2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Amiel</dc:creator>
  <cp:keywords/>
  <dc:description/>
  <cp:lastModifiedBy>Suzanne Amiel</cp:lastModifiedBy>
  <cp:revision>2</cp:revision>
  <dcterms:created xsi:type="dcterms:W3CDTF">2020-06-30T18:56:00Z</dcterms:created>
  <dcterms:modified xsi:type="dcterms:W3CDTF">2020-06-30T18:58:00Z</dcterms:modified>
</cp:coreProperties>
</file>