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B34" w:rsidRPr="009B1470" w:rsidRDefault="006F2B34" w:rsidP="006F2B34">
      <w:pPr>
        <w:pStyle w:val="Heading2"/>
        <w:numPr>
          <w:ilvl w:val="0"/>
          <w:numId w:val="0"/>
        </w:numPr>
        <w:jc w:val="center"/>
        <w:rPr>
          <w:lang w:val="fr-CA"/>
        </w:rPr>
      </w:pPr>
      <w:bookmarkStart w:id="0" w:name="_Toc87454909"/>
      <w:r>
        <w:rPr>
          <w:lang w:val="fr-CA"/>
        </w:rPr>
        <w:t xml:space="preserve">Liste de contrôle : </w:t>
      </w:r>
      <w:r w:rsidRPr="009B1470">
        <w:rPr>
          <w:lang w:val="fr-CA"/>
        </w:rPr>
        <w:t>Préparer un témoin à une audience à distance</w:t>
      </w:r>
      <w:bookmarkEnd w:id="0"/>
    </w:p>
    <w:tbl>
      <w:tblPr>
        <w:tblStyle w:val="TableGrid3"/>
        <w:tblW w:w="11230" w:type="dxa"/>
        <w:jc w:val="center"/>
        <w:tblLayout w:type="fixed"/>
        <w:tblLook w:val="04A0" w:firstRow="1" w:lastRow="0" w:firstColumn="1" w:lastColumn="0" w:noHBand="0" w:noVBand="1"/>
      </w:tblPr>
      <w:tblGrid>
        <w:gridCol w:w="775"/>
        <w:gridCol w:w="9285"/>
        <w:gridCol w:w="1170"/>
      </w:tblGrid>
      <w:tr w:rsidR="006F2B34" w:rsidRPr="00632AC6" w:rsidTr="00CB4877">
        <w:trPr>
          <w:trHeight w:val="53"/>
          <w:jc w:val="center"/>
        </w:trPr>
        <w:tc>
          <w:tcPr>
            <w:tcW w:w="775" w:type="dxa"/>
            <w:shd w:val="clear" w:color="auto" w:fill="BFBFBF"/>
          </w:tcPr>
          <w:p w:rsidR="006F2B34" w:rsidRPr="00632AC6" w:rsidRDefault="006F2B34" w:rsidP="00CB4877">
            <w:pPr>
              <w:jc w:val="center"/>
              <w:rPr>
                <w:rFonts w:ascii="Arial" w:hAnsi="Arial" w:cs="Arial"/>
                <w:b/>
                <w:bCs/>
              </w:rPr>
            </w:pPr>
            <w:r w:rsidRPr="00632AC6">
              <w:rPr>
                <w:rFonts w:ascii="Arial" w:hAnsi="Arial" w:cs="Arial"/>
                <w:b/>
                <w:bCs/>
              </w:rPr>
              <w:t>N</w:t>
            </w:r>
            <w:r w:rsidRPr="00632AC6">
              <w:rPr>
                <w:rFonts w:ascii="Arial" w:hAnsi="Arial" w:cs="Arial"/>
                <w:b/>
                <w:bCs/>
                <w:vertAlign w:val="superscript"/>
              </w:rPr>
              <w:t>o</w:t>
            </w:r>
          </w:p>
        </w:tc>
        <w:tc>
          <w:tcPr>
            <w:tcW w:w="9285" w:type="dxa"/>
            <w:shd w:val="clear" w:color="auto" w:fill="BFBFBF"/>
          </w:tcPr>
          <w:p w:rsidR="006F2B34" w:rsidRPr="00632AC6" w:rsidRDefault="006F2B34" w:rsidP="00CB4877">
            <w:pPr>
              <w:jc w:val="center"/>
              <w:rPr>
                <w:rFonts w:ascii="Arial" w:hAnsi="Arial" w:cs="Arial"/>
                <w:b/>
                <w:bCs/>
              </w:rPr>
            </w:pPr>
            <w:r w:rsidRPr="00632AC6">
              <w:rPr>
                <w:rFonts w:ascii="Arial" w:hAnsi="Arial" w:cs="Arial"/>
                <w:b/>
                <w:bCs/>
              </w:rPr>
              <w:t>Élément</w:t>
            </w:r>
          </w:p>
        </w:tc>
        <w:tc>
          <w:tcPr>
            <w:tcW w:w="1170" w:type="dxa"/>
            <w:shd w:val="clear" w:color="auto" w:fill="BFBFBF"/>
          </w:tcPr>
          <w:p w:rsidR="006F2B34" w:rsidRPr="00632AC6" w:rsidRDefault="006F2B34" w:rsidP="00CB4877">
            <w:pPr>
              <w:jc w:val="center"/>
              <w:rPr>
                <w:rFonts w:ascii="Arial" w:hAnsi="Arial" w:cs="Arial"/>
                <w:b/>
                <w:bCs/>
              </w:rPr>
            </w:pPr>
            <w:r w:rsidRPr="00632AC6">
              <w:rPr>
                <w:rFonts w:ascii="Arial" w:hAnsi="Arial" w:cs="Arial"/>
                <w:b/>
                <w:bCs/>
              </w:rPr>
              <w:t>Contrôle</w:t>
            </w:r>
          </w:p>
        </w:tc>
      </w:tr>
      <w:tr w:rsidR="006F2B34" w:rsidRPr="00632AC6" w:rsidTr="00CB4877">
        <w:trPr>
          <w:trHeight w:val="545"/>
          <w:jc w:val="center"/>
        </w:trPr>
        <w:tc>
          <w:tcPr>
            <w:tcW w:w="11230" w:type="dxa"/>
            <w:gridSpan w:val="3"/>
          </w:tcPr>
          <w:p w:rsidR="006F2B34" w:rsidRPr="00632AC6" w:rsidRDefault="006F2B34" w:rsidP="00CB4877">
            <w:pPr>
              <w:rPr>
                <w:rFonts w:ascii="Arial" w:hAnsi="Arial" w:cs="Arial"/>
                <w:sz w:val="18"/>
                <w:szCs w:val="18"/>
              </w:rPr>
            </w:pPr>
          </w:p>
          <w:p w:rsidR="006F2B34" w:rsidRPr="00632AC6" w:rsidRDefault="006F2B34" w:rsidP="00CB4877">
            <w:pPr>
              <w:rPr>
                <w:rFonts w:ascii="Arial" w:hAnsi="Arial" w:cs="Arial"/>
                <w:b/>
                <w:bCs/>
              </w:rPr>
            </w:pPr>
            <w:r w:rsidRPr="00632AC6">
              <w:rPr>
                <w:rFonts w:ascii="Arial" w:hAnsi="Arial" w:cs="Arial"/>
                <w:b/>
                <w:bCs/>
              </w:rPr>
              <w:t>Avant qu’il donne son témoignage, expliquez ce qui suit au témoin :</w:t>
            </w:r>
          </w:p>
        </w:tc>
      </w:tr>
      <w:tr w:rsidR="006F2B34" w:rsidRPr="00632AC6" w:rsidTr="00CB4877">
        <w:trPr>
          <w:jc w:val="center"/>
        </w:trPr>
        <w:tc>
          <w:tcPr>
            <w:tcW w:w="775" w:type="dxa"/>
          </w:tcPr>
          <w:p w:rsidR="006F2B34" w:rsidRPr="00632AC6" w:rsidRDefault="006F2B34" w:rsidP="006F2B34">
            <w:pPr>
              <w:numPr>
                <w:ilvl w:val="0"/>
                <w:numId w:val="1"/>
              </w:numPr>
              <w:contextualSpacing/>
              <w:rPr>
                <w:rFonts w:ascii="Arial" w:hAnsi="Arial" w:cs="Arial"/>
              </w:rPr>
            </w:pPr>
          </w:p>
        </w:tc>
        <w:tc>
          <w:tcPr>
            <w:tcW w:w="9285" w:type="dxa"/>
          </w:tcPr>
          <w:p w:rsidR="006F2B34" w:rsidRPr="00632AC6" w:rsidRDefault="006F2B34" w:rsidP="00CB4877">
            <w:pPr>
              <w:rPr>
                <w:rFonts w:ascii="Arial" w:hAnsi="Arial" w:cs="Arial"/>
              </w:rPr>
            </w:pPr>
            <w:r w:rsidRPr="00632AC6">
              <w:rPr>
                <w:rFonts w:ascii="Arial" w:hAnsi="Arial" w:cs="Arial"/>
              </w:rPr>
              <w:t>Le port d’une tenue professionnelle est recommandé, comme s’il comparaissait devant le tribunal en personne. Bien que l’audience soit tenue à distance, l’instance peut être publique et être enregistrée.</w:t>
            </w:r>
          </w:p>
        </w:tc>
        <w:tc>
          <w:tcPr>
            <w:tcW w:w="1170" w:type="dxa"/>
          </w:tcPr>
          <w:p w:rsidR="006F2B34" w:rsidRPr="00632AC6" w:rsidRDefault="006F2B34" w:rsidP="00CB4877">
            <w:pPr>
              <w:jc w:val="center"/>
              <w:rPr>
                <w:rFonts w:ascii="Arial" w:hAnsi="Arial" w:cs="Arial"/>
              </w:rPr>
            </w:pPr>
          </w:p>
        </w:tc>
      </w:tr>
      <w:tr w:rsidR="006F2B34" w:rsidRPr="00632AC6" w:rsidTr="00CB4877">
        <w:trPr>
          <w:jc w:val="center"/>
        </w:trPr>
        <w:tc>
          <w:tcPr>
            <w:tcW w:w="775" w:type="dxa"/>
          </w:tcPr>
          <w:p w:rsidR="006F2B34" w:rsidRPr="00632AC6" w:rsidRDefault="006F2B34" w:rsidP="006F2B34">
            <w:pPr>
              <w:numPr>
                <w:ilvl w:val="0"/>
                <w:numId w:val="1"/>
              </w:numPr>
              <w:contextualSpacing/>
              <w:rPr>
                <w:rFonts w:ascii="Arial" w:hAnsi="Arial" w:cs="Arial"/>
              </w:rPr>
            </w:pPr>
          </w:p>
        </w:tc>
        <w:tc>
          <w:tcPr>
            <w:tcW w:w="9285" w:type="dxa"/>
          </w:tcPr>
          <w:p w:rsidR="006F2B34" w:rsidRPr="00632AC6" w:rsidRDefault="006F2B34" w:rsidP="00CB4877">
            <w:pPr>
              <w:rPr>
                <w:rFonts w:ascii="Arial" w:hAnsi="Arial" w:cs="Arial"/>
              </w:rPr>
            </w:pPr>
            <w:r w:rsidRPr="00632AC6">
              <w:rPr>
                <w:rFonts w:ascii="Arial" w:hAnsi="Arial" w:cs="Arial"/>
              </w:rPr>
              <w:t xml:space="preserve">Le témoin fera une déclaration sous serment ou solennelle avant de témoigner. </w:t>
            </w:r>
          </w:p>
        </w:tc>
        <w:tc>
          <w:tcPr>
            <w:tcW w:w="1170" w:type="dxa"/>
          </w:tcPr>
          <w:p w:rsidR="006F2B34" w:rsidRPr="00632AC6" w:rsidRDefault="006F2B34" w:rsidP="00CB4877">
            <w:pPr>
              <w:jc w:val="center"/>
              <w:rPr>
                <w:rFonts w:ascii="Arial" w:hAnsi="Arial" w:cs="Arial"/>
              </w:rPr>
            </w:pPr>
          </w:p>
        </w:tc>
      </w:tr>
      <w:tr w:rsidR="006F2B34" w:rsidRPr="00632AC6" w:rsidTr="00CB4877">
        <w:trPr>
          <w:jc w:val="center"/>
        </w:trPr>
        <w:tc>
          <w:tcPr>
            <w:tcW w:w="775" w:type="dxa"/>
          </w:tcPr>
          <w:p w:rsidR="006F2B34" w:rsidRPr="00632AC6" w:rsidRDefault="006F2B34" w:rsidP="006F2B34">
            <w:pPr>
              <w:numPr>
                <w:ilvl w:val="0"/>
                <w:numId w:val="1"/>
              </w:numPr>
              <w:contextualSpacing/>
              <w:rPr>
                <w:rFonts w:ascii="Arial" w:hAnsi="Arial" w:cs="Arial"/>
              </w:rPr>
            </w:pPr>
          </w:p>
        </w:tc>
        <w:tc>
          <w:tcPr>
            <w:tcW w:w="9285" w:type="dxa"/>
          </w:tcPr>
          <w:p w:rsidR="006F2B34" w:rsidRPr="00632AC6" w:rsidRDefault="006F2B34" w:rsidP="00CB4877">
            <w:pPr>
              <w:rPr>
                <w:rFonts w:ascii="Arial" w:hAnsi="Arial" w:cs="Arial"/>
              </w:rPr>
            </w:pPr>
            <w:r w:rsidRPr="00632AC6">
              <w:rPr>
                <w:rFonts w:ascii="Arial" w:hAnsi="Arial" w:cs="Arial"/>
              </w:rPr>
              <w:t xml:space="preserve">Le processus d’exclusion du témoin de l’audience à distance lorsque le tribunal doit répondre à une objection. </w:t>
            </w:r>
          </w:p>
        </w:tc>
        <w:tc>
          <w:tcPr>
            <w:tcW w:w="1170" w:type="dxa"/>
          </w:tcPr>
          <w:p w:rsidR="006F2B34" w:rsidRPr="00632AC6" w:rsidRDefault="006F2B34" w:rsidP="00CB4877">
            <w:pPr>
              <w:jc w:val="center"/>
              <w:rPr>
                <w:rFonts w:ascii="Arial" w:hAnsi="Arial" w:cs="Arial"/>
              </w:rPr>
            </w:pPr>
          </w:p>
        </w:tc>
      </w:tr>
      <w:tr w:rsidR="006F2B34" w:rsidRPr="00632AC6" w:rsidTr="00CB4877">
        <w:trPr>
          <w:jc w:val="center"/>
        </w:trPr>
        <w:tc>
          <w:tcPr>
            <w:tcW w:w="775" w:type="dxa"/>
          </w:tcPr>
          <w:p w:rsidR="006F2B34" w:rsidRPr="00632AC6" w:rsidRDefault="006F2B34" w:rsidP="006F2B34">
            <w:pPr>
              <w:numPr>
                <w:ilvl w:val="0"/>
                <w:numId w:val="1"/>
              </w:numPr>
              <w:contextualSpacing/>
              <w:rPr>
                <w:rFonts w:ascii="Arial" w:hAnsi="Arial" w:cs="Arial"/>
              </w:rPr>
            </w:pPr>
          </w:p>
        </w:tc>
        <w:tc>
          <w:tcPr>
            <w:tcW w:w="9285" w:type="dxa"/>
          </w:tcPr>
          <w:p w:rsidR="006F2B34" w:rsidRPr="00632AC6" w:rsidRDefault="006F2B34" w:rsidP="00CB4877">
            <w:pPr>
              <w:rPr>
                <w:rFonts w:ascii="Arial" w:hAnsi="Arial" w:cs="Arial"/>
              </w:rPr>
            </w:pPr>
            <w:r w:rsidRPr="00632AC6">
              <w:rPr>
                <w:rFonts w:ascii="Arial" w:hAnsi="Arial" w:cs="Arial"/>
              </w:rPr>
              <w:t>Le témoin doit être seul pendant son témoignage. Il doit fermer la porte de la pièce et informer les autres membres du ménage du besoin d’intimité et de silence.</w:t>
            </w:r>
          </w:p>
        </w:tc>
        <w:tc>
          <w:tcPr>
            <w:tcW w:w="1170" w:type="dxa"/>
          </w:tcPr>
          <w:p w:rsidR="006F2B34" w:rsidRPr="00632AC6" w:rsidRDefault="006F2B34" w:rsidP="00CB4877">
            <w:pPr>
              <w:jc w:val="center"/>
              <w:rPr>
                <w:rFonts w:ascii="Arial" w:hAnsi="Arial" w:cs="Arial"/>
              </w:rPr>
            </w:pPr>
          </w:p>
        </w:tc>
      </w:tr>
      <w:tr w:rsidR="006F2B34" w:rsidRPr="00632AC6" w:rsidTr="00CB4877">
        <w:trPr>
          <w:jc w:val="center"/>
        </w:trPr>
        <w:tc>
          <w:tcPr>
            <w:tcW w:w="775" w:type="dxa"/>
          </w:tcPr>
          <w:p w:rsidR="006F2B34" w:rsidRPr="00632AC6" w:rsidRDefault="006F2B34" w:rsidP="006F2B34">
            <w:pPr>
              <w:numPr>
                <w:ilvl w:val="0"/>
                <w:numId w:val="1"/>
              </w:numPr>
              <w:contextualSpacing/>
              <w:rPr>
                <w:rFonts w:ascii="Arial" w:hAnsi="Arial" w:cs="Arial"/>
              </w:rPr>
            </w:pPr>
          </w:p>
        </w:tc>
        <w:tc>
          <w:tcPr>
            <w:tcW w:w="9285" w:type="dxa"/>
          </w:tcPr>
          <w:p w:rsidR="006F2B34" w:rsidRPr="00632AC6" w:rsidRDefault="006F2B34" w:rsidP="00CB4877">
            <w:pPr>
              <w:rPr>
                <w:rFonts w:ascii="Arial" w:hAnsi="Arial" w:cs="Arial"/>
              </w:rPr>
            </w:pPr>
            <w:r w:rsidRPr="00632AC6">
              <w:rPr>
                <w:rFonts w:ascii="Arial" w:hAnsi="Arial" w:cs="Arial"/>
              </w:rPr>
              <w:t>Il peut avoir de l’eau et une boîte de mouchoirs, mais aucun aliment ou aucune autre boisson pendant qu’il est devant la caméra ou qu’il témoigne.</w:t>
            </w:r>
          </w:p>
        </w:tc>
        <w:tc>
          <w:tcPr>
            <w:tcW w:w="1170" w:type="dxa"/>
          </w:tcPr>
          <w:p w:rsidR="006F2B34" w:rsidRPr="00632AC6" w:rsidRDefault="006F2B34" w:rsidP="00CB4877">
            <w:pPr>
              <w:jc w:val="center"/>
              <w:rPr>
                <w:rFonts w:ascii="Arial" w:hAnsi="Arial" w:cs="Arial"/>
              </w:rPr>
            </w:pPr>
          </w:p>
        </w:tc>
      </w:tr>
      <w:tr w:rsidR="006F2B34" w:rsidRPr="00632AC6" w:rsidTr="00CB4877">
        <w:trPr>
          <w:jc w:val="center"/>
        </w:trPr>
        <w:tc>
          <w:tcPr>
            <w:tcW w:w="775" w:type="dxa"/>
          </w:tcPr>
          <w:p w:rsidR="006F2B34" w:rsidRPr="00632AC6" w:rsidRDefault="006F2B34" w:rsidP="006F2B34">
            <w:pPr>
              <w:numPr>
                <w:ilvl w:val="0"/>
                <w:numId w:val="1"/>
              </w:numPr>
              <w:contextualSpacing/>
              <w:rPr>
                <w:rFonts w:ascii="Arial" w:hAnsi="Arial" w:cs="Arial"/>
              </w:rPr>
            </w:pPr>
          </w:p>
        </w:tc>
        <w:tc>
          <w:tcPr>
            <w:tcW w:w="9285" w:type="dxa"/>
          </w:tcPr>
          <w:p w:rsidR="006F2B34" w:rsidRPr="00632AC6" w:rsidRDefault="006F2B34" w:rsidP="00CB4877">
            <w:pPr>
              <w:rPr>
                <w:rFonts w:ascii="Arial" w:hAnsi="Arial" w:cs="Arial"/>
              </w:rPr>
            </w:pPr>
            <w:r w:rsidRPr="00632AC6">
              <w:rPr>
                <w:rFonts w:ascii="Arial" w:hAnsi="Arial" w:cs="Arial"/>
              </w:rPr>
              <w:t xml:space="preserve">Il ne devrait pas avoir accès aux documents, aux notes ou aux messages auxquels il n’a pas droit pendant son témoignage et qu’il </w:t>
            </w:r>
            <w:r>
              <w:rPr>
                <w:rFonts w:ascii="Arial" w:hAnsi="Arial" w:cs="Arial"/>
              </w:rPr>
              <w:t xml:space="preserve">est </w:t>
            </w:r>
            <w:r w:rsidRPr="00632AC6">
              <w:rPr>
                <w:rFonts w:ascii="Arial" w:hAnsi="Arial" w:cs="Arial"/>
              </w:rPr>
              <w:t>sous serment.</w:t>
            </w:r>
          </w:p>
        </w:tc>
        <w:tc>
          <w:tcPr>
            <w:tcW w:w="1170" w:type="dxa"/>
          </w:tcPr>
          <w:p w:rsidR="006F2B34" w:rsidRPr="00632AC6" w:rsidRDefault="006F2B34" w:rsidP="00CB4877">
            <w:pPr>
              <w:jc w:val="center"/>
              <w:rPr>
                <w:rFonts w:ascii="Arial" w:hAnsi="Arial" w:cs="Arial"/>
              </w:rPr>
            </w:pPr>
          </w:p>
        </w:tc>
      </w:tr>
      <w:tr w:rsidR="006F2B34" w:rsidRPr="00632AC6" w:rsidTr="00CB4877">
        <w:trPr>
          <w:jc w:val="center"/>
        </w:trPr>
        <w:tc>
          <w:tcPr>
            <w:tcW w:w="775" w:type="dxa"/>
          </w:tcPr>
          <w:p w:rsidR="006F2B34" w:rsidRPr="00632AC6" w:rsidRDefault="006F2B34" w:rsidP="006F2B34">
            <w:pPr>
              <w:numPr>
                <w:ilvl w:val="0"/>
                <w:numId w:val="1"/>
              </w:numPr>
              <w:contextualSpacing/>
              <w:rPr>
                <w:rFonts w:ascii="Arial" w:hAnsi="Arial" w:cs="Arial"/>
              </w:rPr>
            </w:pPr>
          </w:p>
        </w:tc>
        <w:tc>
          <w:tcPr>
            <w:tcW w:w="9285" w:type="dxa"/>
          </w:tcPr>
          <w:p w:rsidR="006F2B34" w:rsidRPr="00632AC6" w:rsidDel="00434477" w:rsidRDefault="006F2B34" w:rsidP="00CB4877">
            <w:pPr>
              <w:rPr>
                <w:rFonts w:ascii="Arial" w:hAnsi="Arial" w:cs="Arial"/>
              </w:rPr>
            </w:pPr>
            <w:r w:rsidRPr="00632AC6">
              <w:rPr>
                <w:rFonts w:ascii="Arial" w:hAnsi="Arial" w:cs="Arial"/>
              </w:rPr>
              <w:t>Il doit se sentir à l’aise avec la plateforme électronique – y compris la connexion et la déconnexion, le basculement des fonctions audio et vidéo, la façon d’épingler un intervenant et de changer l’affichage, les salles de réunion en petits groupes, l’endroit où il devrait regarder lorsqu’on lui pose des questions et qu’il témoigne (dans la caméra pour établir un contact visuel).</w:t>
            </w:r>
          </w:p>
        </w:tc>
        <w:tc>
          <w:tcPr>
            <w:tcW w:w="1170" w:type="dxa"/>
          </w:tcPr>
          <w:p w:rsidR="006F2B34" w:rsidRPr="00632AC6" w:rsidRDefault="006F2B34" w:rsidP="00CB4877">
            <w:pPr>
              <w:jc w:val="center"/>
              <w:rPr>
                <w:rFonts w:ascii="Arial" w:hAnsi="Arial" w:cs="Arial"/>
              </w:rPr>
            </w:pPr>
          </w:p>
        </w:tc>
      </w:tr>
      <w:tr w:rsidR="006F2B34" w:rsidRPr="00632AC6" w:rsidTr="00CB4877">
        <w:trPr>
          <w:jc w:val="center"/>
        </w:trPr>
        <w:tc>
          <w:tcPr>
            <w:tcW w:w="775" w:type="dxa"/>
          </w:tcPr>
          <w:p w:rsidR="006F2B34" w:rsidRPr="00632AC6" w:rsidRDefault="006F2B34" w:rsidP="006F2B34">
            <w:pPr>
              <w:numPr>
                <w:ilvl w:val="0"/>
                <w:numId w:val="1"/>
              </w:numPr>
              <w:contextualSpacing/>
              <w:rPr>
                <w:rFonts w:ascii="Arial" w:hAnsi="Arial" w:cs="Arial"/>
              </w:rPr>
            </w:pPr>
          </w:p>
        </w:tc>
        <w:tc>
          <w:tcPr>
            <w:tcW w:w="9285" w:type="dxa"/>
          </w:tcPr>
          <w:p w:rsidR="006F2B34" w:rsidRPr="00632AC6" w:rsidRDefault="006F2B34" w:rsidP="00CB4877">
            <w:pPr>
              <w:rPr>
                <w:rFonts w:ascii="Arial" w:hAnsi="Arial" w:cs="Arial"/>
              </w:rPr>
            </w:pPr>
            <w:r w:rsidRPr="00632AC6">
              <w:rPr>
                <w:rFonts w:ascii="Arial" w:hAnsi="Arial" w:cs="Arial"/>
              </w:rPr>
              <w:t xml:space="preserve">Les mesures à prendre si le témoin ne peut voir ou entendre l’avocat ou le juge. </w:t>
            </w:r>
          </w:p>
        </w:tc>
        <w:tc>
          <w:tcPr>
            <w:tcW w:w="1170" w:type="dxa"/>
          </w:tcPr>
          <w:p w:rsidR="006F2B34" w:rsidRPr="00632AC6" w:rsidRDefault="006F2B34" w:rsidP="00CB4877">
            <w:pPr>
              <w:jc w:val="center"/>
              <w:rPr>
                <w:rFonts w:ascii="Arial" w:hAnsi="Arial" w:cs="Arial"/>
              </w:rPr>
            </w:pPr>
          </w:p>
        </w:tc>
      </w:tr>
      <w:tr w:rsidR="006F2B34" w:rsidRPr="00632AC6" w:rsidTr="00CB4877">
        <w:trPr>
          <w:jc w:val="center"/>
        </w:trPr>
        <w:tc>
          <w:tcPr>
            <w:tcW w:w="775" w:type="dxa"/>
          </w:tcPr>
          <w:p w:rsidR="006F2B34" w:rsidRPr="00632AC6" w:rsidRDefault="006F2B34" w:rsidP="006F2B34">
            <w:pPr>
              <w:numPr>
                <w:ilvl w:val="0"/>
                <w:numId w:val="1"/>
              </w:numPr>
              <w:contextualSpacing/>
              <w:rPr>
                <w:rFonts w:ascii="Arial" w:hAnsi="Arial" w:cs="Arial"/>
              </w:rPr>
            </w:pPr>
          </w:p>
        </w:tc>
        <w:tc>
          <w:tcPr>
            <w:tcW w:w="9285" w:type="dxa"/>
          </w:tcPr>
          <w:p w:rsidR="006F2B34" w:rsidRPr="00632AC6" w:rsidRDefault="006F2B34" w:rsidP="00CB4877">
            <w:pPr>
              <w:rPr>
                <w:rFonts w:ascii="Arial" w:hAnsi="Arial" w:cs="Arial"/>
              </w:rPr>
            </w:pPr>
            <w:r w:rsidRPr="00632AC6">
              <w:rPr>
                <w:rFonts w:ascii="Arial" w:hAnsi="Arial" w:cs="Arial"/>
              </w:rPr>
              <w:t xml:space="preserve">Les coordonnées, y compris le numéro de téléphone, les codes d’accès et les mots de passe, pour se joindre à nouveau à l’audience après une interruption. </w:t>
            </w:r>
            <w:r w:rsidRPr="00632AC6">
              <w:rPr>
                <w:rFonts w:ascii="Arial" w:hAnsi="Arial" w:cs="Arial"/>
                <w:b/>
                <w:bCs/>
              </w:rPr>
              <w:t>Être prêt pour une rupture de la connexion Internet. Prévoir un plan de secours.</w:t>
            </w:r>
          </w:p>
        </w:tc>
        <w:tc>
          <w:tcPr>
            <w:tcW w:w="1170" w:type="dxa"/>
          </w:tcPr>
          <w:p w:rsidR="006F2B34" w:rsidRPr="00632AC6" w:rsidRDefault="006F2B34" w:rsidP="00CB4877">
            <w:pPr>
              <w:jc w:val="center"/>
              <w:rPr>
                <w:rFonts w:ascii="Arial" w:hAnsi="Arial" w:cs="Arial"/>
              </w:rPr>
            </w:pPr>
          </w:p>
        </w:tc>
      </w:tr>
      <w:tr w:rsidR="006F2B34" w:rsidRPr="00632AC6" w:rsidTr="00CB4877">
        <w:trPr>
          <w:jc w:val="center"/>
        </w:trPr>
        <w:tc>
          <w:tcPr>
            <w:tcW w:w="775" w:type="dxa"/>
          </w:tcPr>
          <w:p w:rsidR="006F2B34" w:rsidRPr="00632AC6" w:rsidRDefault="006F2B34" w:rsidP="006F2B34">
            <w:pPr>
              <w:numPr>
                <w:ilvl w:val="0"/>
                <w:numId w:val="1"/>
              </w:numPr>
              <w:contextualSpacing/>
              <w:rPr>
                <w:rFonts w:ascii="Arial" w:hAnsi="Arial" w:cs="Arial"/>
              </w:rPr>
            </w:pPr>
          </w:p>
        </w:tc>
        <w:tc>
          <w:tcPr>
            <w:tcW w:w="9285" w:type="dxa"/>
          </w:tcPr>
          <w:p w:rsidR="006F2B34" w:rsidRPr="00632AC6" w:rsidRDefault="006F2B34" w:rsidP="00CB4877">
            <w:pPr>
              <w:rPr>
                <w:rFonts w:ascii="Arial" w:hAnsi="Arial" w:cs="Arial"/>
              </w:rPr>
            </w:pPr>
            <w:r w:rsidRPr="00632AC6">
              <w:rPr>
                <w:rFonts w:ascii="Arial" w:hAnsi="Arial" w:cs="Arial"/>
              </w:rPr>
              <w:t xml:space="preserve">Fermer les programmes qui ne sont pas nécessaires pendant l’audience, mettre en sourdine la messagerie et les avis téléphoniques. Mettre hors tension les appareils à domicile, tels que Google Home, Alexa, </w:t>
            </w:r>
            <w:proofErr w:type="spellStart"/>
            <w:r w:rsidRPr="00632AC6">
              <w:rPr>
                <w:rFonts w:ascii="Arial" w:hAnsi="Arial" w:cs="Arial"/>
              </w:rPr>
              <w:t>Echo</w:t>
            </w:r>
            <w:proofErr w:type="spellEnd"/>
            <w:r w:rsidRPr="00632AC6">
              <w:rPr>
                <w:rFonts w:ascii="Arial" w:hAnsi="Arial" w:cs="Arial"/>
              </w:rPr>
              <w:t xml:space="preserve"> et </w:t>
            </w:r>
            <w:proofErr w:type="spellStart"/>
            <w:r w:rsidRPr="00632AC6">
              <w:rPr>
                <w:rFonts w:ascii="Arial" w:hAnsi="Arial" w:cs="Arial"/>
              </w:rPr>
              <w:t>Siri</w:t>
            </w:r>
            <w:proofErr w:type="spellEnd"/>
            <w:r w:rsidRPr="00632AC6">
              <w:rPr>
                <w:rFonts w:ascii="Arial" w:hAnsi="Arial" w:cs="Arial"/>
              </w:rPr>
              <w:t>.</w:t>
            </w:r>
          </w:p>
        </w:tc>
        <w:tc>
          <w:tcPr>
            <w:tcW w:w="1170" w:type="dxa"/>
          </w:tcPr>
          <w:p w:rsidR="006F2B34" w:rsidRPr="00632AC6" w:rsidRDefault="006F2B34" w:rsidP="00CB4877">
            <w:pPr>
              <w:jc w:val="center"/>
              <w:rPr>
                <w:rFonts w:ascii="Arial" w:hAnsi="Arial" w:cs="Arial"/>
              </w:rPr>
            </w:pPr>
          </w:p>
        </w:tc>
      </w:tr>
      <w:tr w:rsidR="006F2B34" w:rsidRPr="00632AC6" w:rsidTr="00CB4877">
        <w:trPr>
          <w:jc w:val="center"/>
        </w:trPr>
        <w:tc>
          <w:tcPr>
            <w:tcW w:w="775" w:type="dxa"/>
          </w:tcPr>
          <w:p w:rsidR="006F2B34" w:rsidRPr="00632AC6" w:rsidRDefault="006F2B34" w:rsidP="006F2B34">
            <w:pPr>
              <w:numPr>
                <w:ilvl w:val="0"/>
                <w:numId w:val="1"/>
              </w:numPr>
              <w:contextualSpacing/>
              <w:rPr>
                <w:rFonts w:ascii="Arial" w:hAnsi="Arial" w:cs="Arial"/>
              </w:rPr>
            </w:pPr>
          </w:p>
        </w:tc>
        <w:tc>
          <w:tcPr>
            <w:tcW w:w="9285" w:type="dxa"/>
          </w:tcPr>
          <w:p w:rsidR="006F2B34" w:rsidRPr="00632AC6" w:rsidRDefault="006F2B34" w:rsidP="00CB4877">
            <w:pPr>
              <w:rPr>
                <w:rFonts w:ascii="Arial" w:hAnsi="Arial" w:cs="Arial"/>
              </w:rPr>
            </w:pPr>
            <w:r>
              <w:rPr>
                <w:rFonts w:ascii="Arial" w:hAnsi="Arial" w:cs="Arial"/>
              </w:rPr>
              <w:t>Dém</w:t>
            </w:r>
            <w:r w:rsidRPr="00632AC6">
              <w:rPr>
                <w:rFonts w:ascii="Arial" w:hAnsi="Arial" w:cs="Arial"/>
              </w:rPr>
              <w:t xml:space="preserve">arche à suivre pour trouver des documents et des pages dans des documents à l’aide d’outils comme </w:t>
            </w:r>
            <w:proofErr w:type="spellStart"/>
            <w:r w:rsidRPr="00632AC6">
              <w:rPr>
                <w:rFonts w:ascii="Arial" w:hAnsi="Arial" w:cs="Arial"/>
              </w:rPr>
              <w:t>CaseLines</w:t>
            </w:r>
            <w:proofErr w:type="spellEnd"/>
            <w:r w:rsidRPr="00632AC6">
              <w:rPr>
                <w:rFonts w:ascii="Arial" w:hAnsi="Arial" w:cs="Arial"/>
              </w:rPr>
              <w:t xml:space="preserve"> et Adobe Acrobat. Donner des instructions au témoin et lui permettre de naviguer sur la plateforme à partir de son ordinateur – vérifier la procédure de connexion à </w:t>
            </w:r>
            <w:proofErr w:type="spellStart"/>
            <w:r w:rsidRPr="00632AC6">
              <w:rPr>
                <w:rFonts w:ascii="Arial" w:hAnsi="Arial" w:cs="Arial"/>
              </w:rPr>
              <w:t>CaseLines</w:t>
            </w:r>
            <w:proofErr w:type="spellEnd"/>
            <w:r w:rsidRPr="00632AC6">
              <w:rPr>
                <w:rFonts w:ascii="Arial" w:hAnsi="Arial" w:cs="Arial"/>
              </w:rPr>
              <w:t xml:space="preserve"> ou à d’autres plateformes avant l’audience.</w:t>
            </w:r>
            <w:bookmarkStart w:id="1" w:name="_GoBack"/>
            <w:bookmarkEnd w:id="1"/>
          </w:p>
        </w:tc>
        <w:tc>
          <w:tcPr>
            <w:tcW w:w="1170" w:type="dxa"/>
          </w:tcPr>
          <w:p w:rsidR="006F2B34" w:rsidRPr="00632AC6" w:rsidRDefault="006F2B34" w:rsidP="00CB4877">
            <w:pPr>
              <w:jc w:val="center"/>
              <w:rPr>
                <w:rFonts w:ascii="Arial" w:hAnsi="Arial" w:cs="Arial"/>
              </w:rPr>
            </w:pPr>
          </w:p>
        </w:tc>
      </w:tr>
      <w:tr w:rsidR="006F2B34" w:rsidRPr="00632AC6" w:rsidTr="00CB4877">
        <w:trPr>
          <w:jc w:val="center"/>
        </w:trPr>
        <w:tc>
          <w:tcPr>
            <w:tcW w:w="775" w:type="dxa"/>
          </w:tcPr>
          <w:p w:rsidR="006F2B34" w:rsidRPr="00632AC6" w:rsidRDefault="006F2B34" w:rsidP="006F2B34">
            <w:pPr>
              <w:numPr>
                <w:ilvl w:val="0"/>
                <w:numId w:val="1"/>
              </w:numPr>
              <w:contextualSpacing/>
              <w:rPr>
                <w:rFonts w:ascii="Arial" w:hAnsi="Arial" w:cs="Arial"/>
              </w:rPr>
            </w:pPr>
          </w:p>
        </w:tc>
        <w:tc>
          <w:tcPr>
            <w:tcW w:w="9285" w:type="dxa"/>
          </w:tcPr>
          <w:p w:rsidR="006F2B34" w:rsidRPr="00632AC6" w:rsidRDefault="006F2B34" w:rsidP="00CB4877">
            <w:pPr>
              <w:rPr>
                <w:rFonts w:ascii="Arial" w:hAnsi="Arial" w:cs="Arial"/>
              </w:rPr>
            </w:pPr>
            <w:r w:rsidRPr="00632AC6">
              <w:rPr>
                <w:rFonts w:ascii="Arial" w:hAnsi="Arial" w:cs="Arial"/>
              </w:rPr>
              <w:t>Préparer l’équipement comme un ordinateur, des écrans, un microphone, un casque d’écoute, une caméra, un téléphone, des chargeurs et des adaptateurs de courant. Confirmer que ces pièces d’équipement fonctionnent correctement. S’assurer que les appareils sans fil sont chargés et que les câbles de recharge sont à proximité.</w:t>
            </w:r>
          </w:p>
        </w:tc>
        <w:tc>
          <w:tcPr>
            <w:tcW w:w="1170" w:type="dxa"/>
          </w:tcPr>
          <w:p w:rsidR="006F2B34" w:rsidRPr="00632AC6" w:rsidRDefault="006F2B34" w:rsidP="00CB4877">
            <w:pPr>
              <w:jc w:val="center"/>
              <w:rPr>
                <w:rFonts w:ascii="Arial" w:hAnsi="Arial" w:cs="Arial"/>
              </w:rPr>
            </w:pPr>
          </w:p>
        </w:tc>
      </w:tr>
      <w:tr w:rsidR="006F2B34" w:rsidRPr="00632AC6" w:rsidTr="00CB4877">
        <w:trPr>
          <w:jc w:val="center"/>
        </w:trPr>
        <w:tc>
          <w:tcPr>
            <w:tcW w:w="775" w:type="dxa"/>
          </w:tcPr>
          <w:p w:rsidR="006F2B34" w:rsidRPr="00632AC6" w:rsidRDefault="006F2B34" w:rsidP="006F2B34">
            <w:pPr>
              <w:numPr>
                <w:ilvl w:val="0"/>
                <w:numId w:val="1"/>
              </w:numPr>
              <w:contextualSpacing/>
              <w:rPr>
                <w:rFonts w:ascii="Arial" w:hAnsi="Arial" w:cs="Arial"/>
              </w:rPr>
            </w:pPr>
          </w:p>
        </w:tc>
        <w:tc>
          <w:tcPr>
            <w:tcW w:w="9285" w:type="dxa"/>
          </w:tcPr>
          <w:p w:rsidR="006F2B34" w:rsidRPr="00632AC6" w:rsidRDefault="006F2B34" w:rsidP="00CB4877">
            <w:pPr>
              <w:rPr>
                <w:rFonts w:ascii="Arial" w:hAnsi="Arial" w:cs="Arial"/>
              </w:rPr>
            </w:pPr>
            <w:r w:rsidRPr="00632AC6">
              <w:rPr>
                <w:rFonts w:ascii="Arial" w:hAnsi="Arial" w:cs="Arial"/>
              </w:rPr>
              <w:t xml:space="preserve">Tester la vitesse Internet : </w:t>
            </w:r>
            <w:hyperlink r:id="rId7" w:history="1">
              <w:r>
                <w:rPr>
                  <w:rFonts w:ascii="Arial" w:hAnsi="Arial" w:cs="Arial"/>
                  <w:color w:val="0563C1"/>
                  <w:u w:val="single"/>
                </w:rPr>
                <w:t>https://ww</w:t>
              </w:r>
              <w:r>
                <w:rPr>
                  <w:rFonts w:ascii="Arial" w:hAnsi="Arial" w:cs="Arial"/>
                  <w:color w:val="0563C1"/>
                  <w:u w:val="single"/>
                </w:rPr>
                <w:t>w</w:t>
              </w:r>
              <w:r>
                <w:rPr>
                  <w:rFonts w:ascii="Arial" w:hAnsi="Arial" w:cs="Arial"/>
                  <w:color w:val="0563C1"/>
                  <w:u w:val="single"/>
                </w:rPr>
                <w:t>.speedtest.net/fr</w:t>
              </w:r>
            </w:hyperlink>
          </w:p>
          <w:p w:rsidR="006F2B34" w:rsidRPr="00632AC6" w:rsidRDefault="006F2B34" w:rsidP="00CB4877">
            <w:pPr>
              <w:rPr>
                <w:rFonts w:ascii="Arial" w:hAnsi="Arial" w:cs="Arial"/>
              </w:rPr>
            </w:pPr>
            <w:r w:rsidRPr="00632AC6">
              <w:rPr>
                <w:rFonts w:ascii="Arial" w:hAnsi="Arial" w:cs="Arial"/>
                <w:b/>
                <w:bCs/>
              </w:rPr>
              <w:t>CONSEIL :</w:t>
            </w:r>
            <w:r w:rsidRPr="00632AC6">
              <w:rPr>
                <w:rFonts w:ascii="Arial" w:hAnsi="Arial" w:cs="Arial"/>
              </w:rPr>
              <w:t xml:space="preserve"> Si possible, utiliser une connexion Internet câblée ou s’asseoir le plus près possible du modem ou du routeur Internet si une connexion Wi-Fi est utilisée.</w:t>
            </w:r>
          </w:p>
          <w:p w:rsidR="006F2B34" w:rsidRPr="00632AC6" w:rsidRDefault="006F2B34" w:rsidP="00CB4877">
            <w:pPr>
              <w:rPr>
                <w:rFonts w:ascii="Arial" w:hAnsi="Arial" w:cs="Arial"/>
              </w:rPr>
            </w:pPr>
            <w:r w:rsidRPr="00632AC6">
              <w:rPr>
                <w:rFonts w:ascii="Arial" w:hAnsi="Arial" w:cs="Arial"/>
                <w:b/>
                <w:bCs/>
              </w:rPr>
              <w:t>CONSEIL</w:t>
            </w:r>
            <w:r w:rsidRPr="00632AC6">
              <w:rPr>
                <w:rFonts w:ascii="Arial" w:hAnsi="Arial" w:cs="Arial"/>
              </w:rPr>
              <w:t> : Demander l’accès exclusif à la bande passante d’Internet ou limiter l’utilisation de la bande passante par d’autres personnes.</w:t>
            </w:r>
          </w:p>
          <w:p w:rsidR="006F2B34" w:rsidRPr="00632AC6" w:rsidRDefault="006F2B34" w:rsidP="00CB4877">
            <w:pPr>
              <w:rPr>
                <w:rFonts w:ascii="Arial" w:hAnsi="Arial" w:cs="Arial"/>
              </w:rPr>
            </w:pPr>
            <w:r w:rsidRPr="00632AC6">
              <w:rPr>
                <w:rFonts w:ascii="Arial" w:hAnsi="Arial" w:cs="Arial"/>
                <w:b/>
                <w:bCs/>
              </w:rPr>
              <w:t>CONSEIL</w:t>
            </w:r>
            <w:r w:rsidRPr="00632AC6">
              <w:rPr>
                <w:rFonts w:ascii="Arial" w:hAnsi="Arial" w:cs="Arial"/>
              </w:rPr>
              <w:t> : Utiliser un téléphone pour l’audio et un ordinateur pour la diffusion vidéo en continu si Internet est lent.</w:t>
            </w:r>
          </w:p>
          <w:p w:rsidR="006F2B34" w:rsidRPr="00632AC6" w:rsidRDefault="006F2B34" w:rsidP="00CB4877">
            <w:pPr>
              <w:rPr>
                <w:rFonts w:ascii="Arial" w:hAnsi="Arial" w:cs="Arial"/>
                <w:b/>
                <w:bCs/>
              </w:rPr>
            </w:pPr>
            <w:r w:rsidRPr="00632AC6">
              <w:rPr>
                <w:rFonts w:ascii="Arial" w:hAnsi="Arial" w:cs="Arial"/>
                <w:b/>
                <w:bCs/>
              </w:rPr>
              <w:t>CONSEIL</w:t>
            </w:r>
            <w:r w:rsidRPr="00632AC6">
              <w:rPr>
                <w:rFonts w:ascii="Arial" w:hAnsi="Arial" w:cs="Arial"/>
              </w:rPr>
              <w:t> : Ne pas utiliser de Wi-Fi public parce que la vitesse de connexion est lente et que sa sécurité est inconnue.</w:t>
            </w:r>
          </w:p>
        </w:tc>
        <w:tc>
          <w:tcPr>
            <w:tcW w:w="1170" w:type="dxa"/>
          </w:tcPr>
          <w:p w:rsidR="006F2B34" w:rsidRPr="00632AC6" w:rsidRDefault="006F2B34" w:rsidP="00CB4877">
            <w:pPr>
              <w:jc w:val="center"/>
              <w:rPr>
                <w:rFonts w:ascii="Arial" w:hAnsi="Arial" w:cs="Arial"/>
              </w:rPr>
            </w:pPr>
          </w:p>
        </w:tc>
      </w:tr>
      <w:tr w:rsidR="006F2B34" w:rsidRPr="00632AC6" w:rsidTr="00CB4877">
        <w:trPr>
          <w:trHeight w:val="261"/>
          <w:jc w:val="center"/>
        </w:trPr>
        <w:tc>
          <w:tcPr>
            <w:tcW w:w="11230" w:type="dxa"/>
            <w:gridSpan w:val="3"/>
          </w:tcPr>
          <w:p w:rsidR="006F2B34" w:rsidRPr="00632AC6" w:rsidRDefault="006F2B34" w:rsidP="00CB4877">
            <w:pPr>
              <w:rPr>
                <w:rFonts w:ascii="Arial" w:hAnsi="Arial" w:cs="Arial"/>
                <w:b/>
                <w:bCs/>
                <w:sz w:val="18"/>
                <w:szCs w:val="18"/>
              </w:rPr>
            </w:pPr>
          </w:p>
          <w:p w:rsidR="006F2B34" w:rsidRPr="00632AC6" w:rsidRDefault="006F2B34" w:rsidP="00CB4877">
            <w:pPr>
              <w:rPr>
                <w:rFonts w:ascii="Arial" w:hAnsi="Arial" w:cs="Arial"/>
                <w:b/>
                <w:bCs/>
              </w:rPr>
            </w:pPr>
            <w:r w:rsidRPr="00632AC6">
              <w:rPr>
                <w:rFonts w:ascii="Arial" w:hAnsi="Arial" w:cs="Arial"/>
                <w:b/>
                <w:bCs/>
              </w:rPr>
              <w:t>Expliquez au témoin que le jour de l’audience, il devrait :</w:t>
            </w:r>
          </w:p>
        </w:tc>
      </w:tr>
      <w:tr w:rsidR="006F2B34" w:rsidRPr="00632AC6" w:rsidTr="00CB4877">
        <w:trPr>
          <w:jc w:val="center"/>
        </w:trPr>
        <w:tc>
          <w:tcPr>
            <w:tcW w:w="775" w:type="dxa"/>
          </w:tcPr>
          <w:p w:rsidR="006F2B34" w:rsidRPr="00632AC6" w:rsidRDefault="006F2B34" w:rsidP="006F2B34">
            <w:pPr>
              <w:numPr>
                <w:ilvl w:val="0"/>
                <w:numId w:val="1"/>
              </w:numPr>
              <w:contextualSpacing/>
              <w:rPr>
                <w:rFonts w:ascii="Arial" w:hAnsi="Arial" w:cs="Arial"/>
              </w:rPr>
            </w:pPr>
          </w:p>
        </w:tc>
        <w:tc>
          <w:tcPr>
            <w:tcW w:w="9285" w:type="dxa"/>
          </w:tcPr>
          <w:p w:rsidR="006F2B34" w:rsidRPr="00632AC6" w:rsidRDefault="006F2B34" w:rsidP="00CB4877">
            <w:pPr>
              <w:rPr>
                <w:rFonts w:ascii="Arial" w:hAnsi="Arial" w:cs="Arial"/>
              </w:rPr>
            </w:pPr>
            <w:r w:rsidRPr="00632AC6">
              <w:rPr>
                <w:rFonts w:ascii="Arial" w:hAnsi="Arial" w:cs="Arial"/>
              </w:rPr>
              <w:t>Arriver 15 à 30 minutes plus tôt et vérifier que les connexions audio et vidéo sont fonctionnelles. Tester la vitesse Internet.</w:t>
            </w:r>
          </w:p>
        </w:tc>
        <w:tc>
          <w:tcPr>
            <w:tcW w:w="1170" w:type="dxa"/>
          </w:tcPr>
          <w:p w:rsidR="006F2B34" w:rsidRPr="00632AC6" w:rsidRDefault="006F2B34" w:rsidP="00CB4877">
            <w:pPr>
              <w:jc w:val="center"/>
              <w:rPr>
                <w:rFonts w:ascii="Arial" w:hAnsi="Arial" w:cs="Arial"/>
              </w:rPr>
            </w:pPr>
          </w:p>
        </w:tc>
      </w:tr>
      <w:tr w:rsidR="006F2B34" w:rsidRPr="00632AC6" w:rsidTr="00CB4877">
        <w:trPr>
          <w:jc w:val="center"/>
        </w:trPr>
        <w:tc>
          <w:tcPr>
            <w:tcW w:w="775" w:type="dxa"/>
          </w:tcPr>
          <w:p w:rsidR="006F2B34" w:rsidRPr="00632AC6" w:rsidRDefault="006F2B34" w:rsidP="006F2B34">
            <w:pPr>
              <w:numPr>
                <w:ilvl w:val="0"/>
                <w:numId w:val="1"/>
              </w:numPr>
              <w:contextualSpacing/>
              <w:rPr>
                <w:rFonts w:ascii="Arial" w:hAnsi="Arial" w:cs="Arial"/>
              </w:rPr>
            </w:pPr>
          </w:p>
        </w:tc>
        <w:tc>
          <w:tcPr>
            <w:tcW w:w="9285" w:type="dxa"/>
          </w:tcPr>
          <w:p w:rsidR="006F2B34" w:rsidRPr="00632AC6" w:rsidRDefault="006F2B34" w:rsidP="00CB4877">
            <w:pPr>
              <w:rPr>
                <w:rFonts w:ascii="Arial" w:hAnsi="Arial" w:cs="Arial"/>
              </w:rPr>
            </w:pPr>
            <w:r w:rsidRPr="00632AC6">
              <w:rPr>
                <w:rFonts w:ascii="Arial" w:hAnsi="Arial" w:cs="Arial"/>
              </w:rPr>
              <w:t>Vérifier que les appareils sont branchés dans les prises de courant et que les appareils sans fil sont complètement chargés.</w:t>
            </w:r>
          </w:p>
        </w:tc>
        <w:tc>
          <w:tcPr>
            <w:tcW w:w="1170" w:type="dxa"/>
          </w:tcPr>
          <w:p w:rsidR="006F2B34" w:rsidRPr="00632AC6" w:rsidRDefault="006F2B34" w:rsidP="00CB4877">
            <w:pPr>
              <w:jc w:val="center"/>
              <w:rPr>
                <w:rFonts w:ascii="Arial" w:hAnsi="Arial" w:cs="Arial"/>
              </w:rPr>
            </w:pPr>
          </w:p>
        </w:tc>
      </w:tr>
      <w:tr w:rsidR="006F2B34" w:rsidRPr="00632AC6" w:rsidTr="00CB4877">
        <w:trPr>
          <w:jc w:val="center"/>
        </w:trPr>
        <w:tc>
          <w:tcPr>
            <w:tcW w:w="775" w:type="dxa"/>
          </w:tcPr>
          <w:p w:rsidR="006F2B34" w:rsidRPr="00632AC6" w:rsidRDefault="006F2B34" w:rsidP="006F2B34">
            <w:pPr>
              <w:numPr>
                <w:ilvl w:val="0"/>
                <w:numId w:val="1"/>
              </w:numPr>
              <w:contextualSpacing/>
              <w:rPr>
                <w:rFonts w:ascii="Arial" w:hAnsi="Arial" w:cs="Arial"/>
              </w:rPr>
            </w:pPr>
          </w:p>
        </w:tc>
        <w:tc>
          <w:tcPr>
            <w:tcW w:w="9285" w:type="dxa"/>
          </w:tcPr>
          <w:p w:rsidR="006F2B34" w:rsidRPr="00632AC6" w:rsidRDefault="006F2B34" w:rsidP="00CB4877">
            <w:pPr>
              <w:rPr>
                <w:rFonts w:ascii="Arial" w:hAnsi="Arial" w:cs="Arial"/>
              </w:rPr>
            </w:pPr>
            <w:r w:rsidRPr="00632AC6">
              <w:rPr>
                <w:rFonts w:ascii="Arial" w:hAnsi="Arial" w:cs="Arial"/>
              </w:rPr>
              <w:t>Fermer tous les programmes qui ne sont pas nécessaires pendant l’audience et désactiver la messagerie et les avis téléphoniques.</w:t>
            </w:r>
          </w:p>
        </w:tc>
        <w:tc>
          <w:tcPr>
            <w:tcW w:w="1170" w:type="dxa"/>
          </w:tcPr>
          <w:p w:rsidR="006F2B34" w:rsidRPr="00632AC6" w:rsidRDefault="006F2B34" w:rsidP="00CB4877">
            <w:pPr>
              <w:jc w:val="center"/>
              <w:rPr>
                <w:rFonts w:ascii="Arial" w:hAnsi="Arial" w:cs="Arial"/>
              </w:rPr>
            </w:pPr>
          </w:p>
        </w:tc>
      </w:tr>
      <w:tr w:rsidR="006F2B34" w:rsidRPr="00632AC6" w:rsidTr="00CB4877">
        <w:trPr>
          <w:jc w:val="center"/>
        </w:trPr>
        <w:tc>
          <w:tcPr>
            <w:tcW w:w="775" w:type="dxa"/>
          </w:tcPr>
          <w:p w:rsidR="006F2B34" w:rsidRPr="00632AC6" w:rsidRDefault="006F2B34" w:rsidP="006F2B34">
            <w:pPr>
              <w:numPr>
                <w:ilvl w:val="0"/>
                <w:numId w:val="1"/>
              </w:numPr>
              <w:contextualSpacing/>
              <w:rPr>
                <w:rFonts w:ascii="Arial" w:hAnsi="Arial" w:cs="Arial"/>
              </w:rPr>
            </w:pPr>
          </w:p>
        </w:tc>
        <w:tc>
          <w:tcPr>
            <w:tcW w:w="9285" w:type="dxa"/>
          </w:tcPr>
          <w:p w:rsidR="006F2B34" w:rsidRPr="00632AC6" w:rsidRDefault="006F2B34" w:rsidP="00CB4877">
            <w:pPr>
              <w:rPr>
                <w:rFonts w:ascii="Arial" w:hAnsi="Arial" w:cs="Arial"/>
              </w:rPr>
            </w:pPr>
            <w:r w:rsidRPr="00632AC6">
              <w:rPr>
                <w:rFonts w:ascii="Arial" w:hAnsi="Arial" w:cs="Arial"/>
              </w:rPr>
              <w:t>Changer son nom d’affichage à l’écran et suivre le protocole de dénomination convenu.</w:t>
            </w:r>
          </w:p>
        </w:tc>
        <w:tc>
          <w:tcPr>
            <w:tcW w:w="1170" w:type="dxa"/>
          </w:tcPr>
          <w:p w:rsidR="006F2B34" w:rsidRPr="00632AC6" w:rsidRDefault="006F2B34" w:rsidP="00CB4877">
            <w:pPr>
              <w:jc w:val="center"/>
              <w:rPr>
                <w:rFonts w:ascii="Arial" w:hAnsi="Arial" w:cs="Arial"/>
              </w:rPr>
            </w:pPr>
          </w:p>
        </w:tc>
      </w:tr>
      <w:tr w:rsidR="006F2B34" w:rsidRPr="00632AC6" w:rsidTr="00CB4877">
        <w:trPr>
          <w:jc w:val="center"/>
        </w:trPr>
        <w:tc>
          <w:tcPr>
            <w:tcW w:w="775" w:type="dxa"/>
          </w:tcPr>
          <w:p w:rsidR="006F2B34" w:rsidRPr="00632AC6" w:rsidRDefault="006F2B34" w:rsidP="006F2B34">
            <w:pPr>
              <w:numPr>
                <w:ilvl w:val="0"/>
                <w:numId w:val="1"/>
              </w:numPr>
              <w:contextualSpacing/>
              <w:rPr>
                <w:rFonts w:ascii="Arial" w:hAnsi="Arial" w:cs="Arial"/>
              </w:rPr>
            </w:pPr>
          </w:p>
        </w:tc>
        <w:tc>
          <w:tcPr>
            <w:tcW w:w="9285" w:type="dxa"/>
          </w:tcPr>
          <w:p w:rsidR="006F2B34" w:rsidRPr="00632AC6" w:rsidRDefault="006F2B34" w:rsidP="00CB4877">
            <w:pPr>
              <w:rPr>
                <w:rFonts w:ascii="Arial" w:hAnsi="Arial" w:cs="Arial"/>
              </w:rPr>
            </w:pPr>
            <w:r w:rsidRPr="00632AC6">
              <w:rPr>
                <w:rFonts w:ascii="Arial" w:hAnsi="Arial" w:cs="Arial"/>
              </w:rPr>
              <w:t xml:space="preserve">Vérifier la procédure de connexion à </w:t>
            </w:r>
            <w:proofErr w:type="spellStart"/>
            <w:r w:rsidRPr="00632AC6">
              <w:rPr>
                <w:rFonts w:ascii="Arial" w:hAnsi="Arial" w:cs="Arial"/>
              </w:rPr>
              <w:t>CaseLines</w:t>
            </w:r>
            <w:proofErr w:type="spellEnd"/>
            <w:r w:rsidRPr="00632AC6">
              <w:rPr>
                <w:rFonts w:ascii="Arial" w:hAnsi="Arial" w:cs="Arial"/>
              </w:rPr>
              <w:t xml:space="preserve"> ou l’accès à tout dossier contenant les documents nécessaires à l’audience.</w:t>
            </w:r>
          </w:p>
        </w:tc>
        <w:tc>
          <w:tcPr>
            <w:tcW w:w="1170" w:type="dxa"/>
          </w:tcPr>
          <w:p w:rsidR="006F2B34" w:rsidRPr="00632AC6" w:rsidRDefault="006F2B34" w:rsidP="00CB4877">
            <w:pPr>
              <w:jc w:val="center"/>
              <w:rPr>
                <w:rFonts w:ascii="Arial" w:hAnsi="Arial" w:cs="Arial"/>
              </w:rPr>
            </w:pPr>
          </w:p>
        </w:tc>
      </w:tr>
      <w:tr w:rsidR="006F2B34" w:rsidRPr="00632AC6" w:rsidTr="00CB4877">
        <w:trPr>
          <w:jc w:val="center"/>
        </w:trPr>
        <w:tc>
          <w:tcPr>
            <w:tcW w:w="775" w:type="dxa"/>
          </w:tcPr>
          <w:p w:rsidR="006F2B34" w:rsidRPr="00632AC6" w:rsidRDefault="006F2B34" w:rsidP="006F2B34">
            <w:pPr>
              <w:numPr>
                <w:ilvl w:val="0"/>
                <w:numId w:val="1"/>
              </w:numPr>
              <w:contextualSpacing/>
              <w:rPr>
                <w:rFonts w:ascii="Arial" w:hAnsi="Arial" w:cs="Arial"/>
              </w:rPr>
            </w:pPr>
          </w:p>
        </w:tc>
        <w:tc>
          <w:tcPr>
            <w:tcW w:w="9285" w:type="dxa"/>
          </w:tcPr>
          <w:p w:rsidR="006F2B34" w:rsidRPr="00632AC6" w:rsidRDefault="006F2B34" w:rsidP="00CB4877">
            <w:pPr>
              <w:rPr>
                <w:rFonts w:ascii="Arial" w:hAnsi="Arial" w:cs="Arial"/>
              </w:rPr>
            </w:pPr>
            <w:r w:rsidRPr="00632AC6">
              <w:rPr>
                <w:rFonts w:ascii="Arial" w:hAnsi="Arial" w:cs="Arial"/>
              </w:rPr>
              <w:t>Passer en revue le plan de secours en cas de rupture des connexions.</w:t>
            </w:r>
          </w:p>
        </w:tc>
        <w:tc>
          <w:tcPr>
            <w:tcW w:w="1170" w:type="dxa"/>
          </w:tcPr>
          <w:p w:rsidR="006F2B34" w:rsidRPr="00632AC6" w:rsidRDefault="006F2B34" w:rsidP="00CB4877">
            <w:pPr>
              <w:jc w:val="center"/>
              <w:rPr>
                <w:rFonts w:ascii="Arial" w:hAnsi="Arial" w:cs="Arial"/>
              </w:rPr>
            </w:pPr>
          </w:p>
        </w:tc>
      </w:tr>
    </w:tbl>
    <w:p w:rsidR="006F2B34" w:rsidRPr="00632AC6" w:rsidRDefault="006F2B34" w:rsidP="006F2B34">
      <w:pPr>
        <w:spacing w:after="0" w:line="240" w:lineRule="auto"/>
      </w:pPr>
    </w:p>
    <w:p w:rsidR="00B26457" w:rsidRDefault="00B26457"/>
    <w:sectPr w:rsidR="00B264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B34" w:rsidRDefault="006F2B34" w:rsidP="006F2B34">
      <w:pPr>
        <w:spacing w:after="0" w:line="240" w:lineRule="auto"/>
      </w:pPr>
      <w:r>
        <w:separator/>
      </w:r>
    </w:p>
  </w:endnote>
  <w:endnote w:type="continuationSeparator" w:id="0">
    <w:p w:rsidR="006F2B34" w:rsidRDefault="006F2B34" w:rsidP="006F2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B34" w:rsidRDefault="006F2B34" w:rsidP="006F2B34">
      <w:pPr>
        <w:spacing w:after="0" w:line="240" w:lineRule="auto"/>
      </w:pPr>
      <w:r>
        <w:separator/>
      </w:r>
    </w:p>
  </w:footnote>
  <w:footnote w:type="continuationSeparator" w:id="0">
    <w:p w:rsidR="006F2B34" w:rsidRDefault="006F2B34" w:rsidP="006F2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6144AA"/>
    <w:multiLevelType w:val="multilevel"/>
    <w:tmpl w:val="9F700AAA"/>
    <w:lvl w:ilvl="0">
      <w:start w:val="1"/>
      <w:numFmt w:val="decimal"/>
      <w:pStyle w:val="Heading2"/>
      <w:lvlText w:val="%1)"/>
      <w:lvlJc w:val="left"/>
      <w:pPr>
        <w:ind w:left="360" w:hanging="360"/>
      </w:pPr>
      <w:rPr>
        <w:rFonts w:hint="default"/>
      </w:rPr>
    </w:lvl>
    <w:lvl w:ilvl="1">
      <w:start w:val="1"/>
      <w:numFmt w:val="lowerLetter"/>
      <w:pStyle w:val="Heading3"/>
      <w:lvlText w:val="%2)"/>
      <w:lvlJc w:val="left"/>
      <w:pPr>
        <w:ind w:left="-982" w:hanging="360"/>
      </w:pPr>
      <w:rPr>
        <w:rFonts w:hint="default"/>
        <w:b/>
      </w:rPr>
    </w:lvl>
    <w:lvl w:ilvl="2">
      <w:start w:val="1"/>
      <w:numFmt w:val="lowerRoman"/>
      <w:lvlText w:val="%3)"/>
      <w:lvlJc w:val="left"/>
      <w:pPr>
        <w:ind w:left="-622" w:hanging="360"/>
      </w:pPr>
      <w:rPr>
        <w:rFonts w:hint="default"/>
      </w:rPr>
    </w:lvl>
    <w:lvl w:ilvl="3">
      <w:start w:val="1"/>
      <w:numFmt w:val="decimal"/>
      <w:lvlText w:val="(%4)"/>
      <w:lvlJc w:val="left"/>
      <w:pPr>
        <w:ind w:left="-262" w:hanging="360"/>
      </w:pPr>
      <w:rPr>
        <w:rFonts w:hint="default"/>
      </w:rPr>
    </w:lvl>
    <w:lvl w:ilvl="4">
      <w:start w:val="1"/>
      <w:numFmt w:val="lowerLetter"/>
      <w:lvlText w:val="(%5)"/>
      <w:lvlJc w:val="left"/>
      <w:pPr>
        <w:ind w:left="98" w:hanging="360"/>
      </w:pPr>
      <w:rPr>
        <w:rFonts w:hint="default"/>
      </w:rPr>
    </w:lvl>
    <w:lvl w:ilvl="5">
      <w:start w:val="1"/>
      <w:numFmt w:val="lowerRoman"/>
      <w:lvlText w:val="(%6)"/>
      <w:lvlJc w:val="left"/>
      <w:pPr>
        <w:ind w:left="458" w:hanging="360"/>
      </w:pPr>
      <w:rPr>
        <w:rFonts w:hint="default"/>
      </w:rPr>
    </w:lvl>
    <w:lvl w:ilvl="6">
      <w:start w:val="1"/>
      <w:numFmt w:val="decimal"/>
      <w:lvlText w:val="%7."/>
      <w:lvlJc w:val="left"/>
      <w:pPr>
        <w:ind w:left="818" w:hanging="360"/>
      </w:pPr>
      <w:rPr>
        <w:rFonts w:hint="default"/>
      </w:rPr>
    </w:lvl>
    <w:lvl w:ilvl="7">
      <w:start w:val="1"/>
      <w:numFmt w:val="lowerLetter"/>
      <w:lvlText w:val="%8."/>
      <w:lvlJc w:val="left"/>
      <w:pPr>
        <w:ind w:left="1178" w:hanging="360"/>
      </w:pPr>
      <w:rPr>
        <w:rFonts w:hint="default"/>
      </w:rPr>
    </w:lvl>
    <w:lvl w:ilvl="8">
      <w:start w:val="1"/>
      <w:numFmt w:val="lowerRoman"/>
      <w:lvlText w:val="%9."/>
      <w:lvlJc w:val="left"/>
      <w:pPr>
        <w:ind w:left="1538" w:hanging="360"/>
      </w:pPr>
      <w:rPr>
        <w:rFonts w:hint="default"/>
      </w:rPr>
    </w:lvl>
  </w:abstractNum>
  <w:abstractNum w:abstractNumId="1" w15:restartNumberingAfterBreak="0">
    <w:nsid w:val="7A9E41BE"/>
    <w:multiLevelType w:val="hybridMultilevel"/>
    <w:tmpl w:val="BDE45A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B34"/>
    <w:rsid w:val="000A0E01"/>
    <w:rsid w:val="006F2B34"/>
    <w:rsid w:val="00B2072A"/>
    <w:rsid w:val="00B2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2CA20-BA59-472A-B26A-9138FEBB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B34"/>
    <w:rPr>
      <w:lang w:val="fr-CA"/>
    </w:rPr>
  </w:style>
  <w:style w:type="paragraph" w:styleId="Heading2">
    <w:name w:val="heading 2"/>
    <w:basedOn w:val="ListParagraph"/>
    <w:next w:val="Normal"/>
    <w:link w:val="Heading2Char"/>
    <w:qFormat/>
    <w:rsid w:val="006F2B34"/>
    <w:pPr>
      <w:numPr>
        <w:numId w:val="2"/>
      </w:numPr>
      <w:spacing w:after="240" w:line="240" w:lineRule="auto"/>
      <w:contextualSpacing w:val="0"/>
      <w:jc w:val="both"/>
      <w:outlineLvl w:val="1"/>
    </w:pPr>
    <w:rPr>
      <w:rFonts w:ascii="Arial" w:hAnsi="Arial" w:cs="Arial"/>
      <w:b/>
      <w:lang w:val="en-CA"/>
    </w:rPr>
  </w:style>
  <w:style w:type="paragraph" w:styleId="Heading3">
    <w:name w:val="heading 3"/>
    <w:basedOn w:val="ListParagraph"/>
    <w:next w:val="Normal"/>
    <w:link w:val="Heading3Char"/>
    <w:uiPriority w:val="99"/>
    <w:semiHidden/>
    <w:qFormat/>
    <w:rsid w:val="006F2B34"/>
    <w:pPr>
      <w:numPr>
        <w:ilvl w:val="1"/>
        <w:numId w:val="2"/>
      </w:numPr>
      <w:spacing w:after="240" w:line="240" w:lineRule="auto"/>
      <w:ind w:left="720"/>
      <w:contextualSpacing w:val="0"/>
      <w:jc w:val="both"/>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2B34"/>
    <w:rPr>
      <w:rFonts w:ascii="Arial" w:hAnsi="Arial" w:cs="Arial"/>
      <w:b/>
      <w:lang w:val="en-CA"/>
    </w:rPr>
  </w:style>
  <w:style w:type="character" w:customStyle="1" w:styleId="Heading3Char">
    <w:name w:val="Heading 3 Char"/>
    <w:basedOn w:val="DefaultParagraphFont"/>
    <w:link w:val="Heading3"/>
    <w:uiPriority w:val="99"/>
    <w:semiHidden/>
    <w:rsid w:val="006F2B34"/>
    <w:rPr>
      <w:rFonts w:ascii="Arial" w:hAnsi="Arial" w:cs="Arial"/>
      <w:b/>
      <w:bCs/>
      <w:lang w:val="fr-CA"/>
    </w:rPr>
  </w:style>
  <w:style w:type="table" w:customStyle="1" w:styleId="TableGrid3">
    <w:name w:val="Table Grid3"/>
    <w:basedOn w:val="TableNormal"/>
    <w:next w:val="TableGrid"/>
    <w:uiPriority w:val="39"/>
    <w:rsid w:val="006F2B34"/>
    <w:pPr>
      <w:spacing w:after="0" w:line="240" w:lineRule="auto"/>
    </w:pPr>
    <w:rPr>
      <w:rFonts w:ascii="Calibri" w:eastAsia="Calibri" w:hAnsi="Calibr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2B34"/>
    <w:pPr>
      <w:ind w:left="720"/>
      <w:contextualSpacing/>
    </w:pPr>
  </w:style>
  <w:style w:type="table" w:styleId="TableGrid">
    <w:name w:val="Table Grid"/>
    <w:basedOn w:val="TableNormal"/>
    <w:uiPriority w:val="39"/>
    <w:rsid w:val="006F2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2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B34"/>
    <w:rPr>
      <w:lang w:val="fr-CA"/>
    </w:rPr>
  </w:style>
  <w:style w:type="paragraph" w:styleId="Footer">
    <w:name w:val="footer"/>
    <w:basedOn w:val="Normal"/>
    <w:link w:val="FooterChar"/>
    <w:uiPriority w:val="99"/>
    <w:unhideWhenUsed/>
    <w:rsid w:val="006F2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B34"/>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eedtest.ne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97C85E4B</Template>
  <TotalTime>1</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Amiel</dc:creator>
  <cp:keywords/>
  <dc:description/>
  <cp:lastModifiedBy>Suzanne Amiel</cp:lastModifiedBy>
  <cp:revision>3</cp:revision>
  <dcterms:created xsi:type="dcterms:W3CDTF">2021-11-10T22:16:00Z</dcterms:created>
  <dcterms:modified xsi:type="dcterms:W3CDTF">2021-11-10T22:18:00Z</dcterms:modified>
</cp:coreProperties>
</file>